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EA336" w14:textId="77777777" w:rsidR="00C221B7" w:rsidRDefault="006A1F32" w:rsidP="002139E7">
      <w:pPr>
        <w:spacing w:after="0" w:line="259" w:lineRule="auto"/>
        <w:ind w:left="0" w:firstLine="0"/>
        <w:jc w:val="center"/>
      </w:pPr>
      <w:r>
        <w:rPr>
          <w:noProof/>
        </w:rPr>
        <w:drawing>
          <wp:inline distT="0" distB="0" distL="0" distR="0" wp14:anchorId="32A1AC16" wp14:editId="7F53A6EC">
            <wp:extent cx="2857500" cy="254317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7"/>
                    <a:stretch>
                      <a:fillRect/>
                    </a:stretch>
                  </pic:blipFill>
                  <pic:spPr>
                    <a:xfrm>
                      <a:off x="0" y="0"/>
                      <a:ext cx="2857500" cy="2543175"/>
                    </a:xfrm>
                    <a:prstGeom prst="rect">
                      <a:avLst/>
                    </a:prstGeom>
                  </pic:spPr>
                </pic:pic>
              </a:graphicData>
            </a:graphic>
          </wp:inline>
        </w:drawing>
      </w:r>
    </w:p>
    <w:p w14:paraId="1E9842AF" w14:textId="77777777" w:rsidR="00C221B7" w:rsidRDefault="006A1F32">
      <w:pPr>
        <w:spacing w:after="0" w:line="259" w:lineRule="auto"/>
        <w:ind w:left="0" w:right="280" w:firstLine="0"/>
        <w:jc w:val="center"/>
      </w:pPr>
      <w:r>
        <w:rPr>
          <w:b/>
          <w:sz w:val="20"/>
        </w:rPr>
        <w:t xml:space="preserve"> </w:t>
      </w:r>
    </w:p>
    <w:p w14:paraId="5242F4FC" w14:textId="77777777" w:rsidR="00C221B7" w:rsidRDefault="006A1F32">
      <w:pPr>
        <w:spacing w:after="0" w:line="259" w:lineRule="auto"/>
        <w:ind w:left="0" w:firstLine="0"/>
        <w:jc w:val="center"/>
      </w:pPr>
      <w:r>
        <w:rPr>
          <w:b/>
          <w:sz w:val="20"/>
        </w:rPr>
        <w:t xml:space="preserve"> </w:t>
      </w:r>
    </w:p>
    <w:p w14:paraId="6DBD5756" w14:textId="77777777" w:rsidR="00C221B7" w:rsidRDefault="006A1F32">
      <w:pPr>
        <w:spacing w:after="0" w:line="259" w:lineRule="auto"/>
        <w:ind w:left="80" w:firstLine="0"/>
        <w:jc w:val="center"/>
      </w:pPr>
      <w:r>
        <w:rPr>
          <w:b/>
          <w:sz w:val="20"/>
        </w:rPr>
        <w:t xml:space="preserve"> </w:t>
      </w:r>
    </w:p>
    <w:p w14:paraId="13CC7EBF" w14:textId="77777777" w:rsidR="00C221B7" w:rsidRDefault="006A1F32">
      <w:pPr>
        <w:spacing w:after="0" w:line="259" w:lineRule="auto"/>
        <w:ind w:left="0" w:firstLine="0"/>
      </w:pPr>
      <w:r>
        <w:rPr>
          <w:b/>
          <w:sz w:val="20"/>
        </w:rPr>
        <w:t xml:space="preserve"> </w:t>
      </w:r>
    </w:p>
    <w:p w14:paraId="27272CA5" w14:textId="77777777" w:rsidR="00C221B7" w:rsidRDefault="006A1F32">
      <w:pPr>
        <w:spacing w:after="0" w:line="259" w:lineRule="auto"/>
        <w:ind w:left="80" w:firstLine="0"/>
        <w:jc w:val="center"/>
      </w:pPr>
      <w:r>
        <w:rPr>
          <w:b/>
          <w:sz w:val="20"/>
        </w:rPr>
        <w:t xml:space="preserve"> </w:t>
      </w:r>
    </w:p>
    <w:p w14:paraId="24E885D1" w14:textId="77777777" w:rsidR="00C221B7" w:rsidRDefault="006A1F32">
      <w:pPr>
        <w:spacing w:after="0" w:line="259" w:lineRule="auto"/>
        <w:ind w:left="80" w:firstLine="0"/>
        <w:jc w:val="center"/>
      </w:pPr>
      <w:r>
        <w:rPr>
          <w:b/>
          <w:sz w:val="20"/>
        </w:rPr>
        <w:t xml:space="preserve"> </w:t>
      </w:r>
    </w:p>
    <w:p w14:paraId="07626E88" w14:textId="77777777" w:rsidR="00C221B7" w:rsidRDefault="006A1F32">
      <w:pPr>
        <w:spacing w:after="0" w:line="259" w:lineRule="auto"/>
        <w:ind w:left="80" w:firstLine="0"/>
        <w:jc w:val="center"/>
      </w:pPr>
      <w:r>
        <w:rPr>
          <w:b/>
          <w:sz w:val="20"/>
        </w:rPr>
        <w:t xml:space="preserve"> </w:t>
      </w:r>
    </w:p>
    <w:p w14:paraId="66371572" w14:textId="77777777" w:rsidR="00C221B7" w:rsidRDefault="006A1F32">
      <w:pPr>
        <w:spacing w:after="0" w:line="259" w:lineRule="auto"/>
        <w:ind w:left="80" w:firstLine="0"/>
        <w:jc w:val="center"/>
      </w:pPr>
      <w:r>
        <w:rPr>
          <w:b/>
          <w:sz w:val="20"/>
        </w:rPr>
        <w:t xml:space="preserve"> </w:t>
      </w:r>
    </w:p>
    <w:p w14:paraId="6A3E9F89" w14:textId="77777777" w:rsidR="00C221B7" w:rsidRDefault="006A1F32">
      <w:pPr>
        <w:spacing w:after="91" w:line="259" w:lineRule="auto"/>
        <w:ind w:left="80" w:firstLine="0"/>
        <w:jc w:val="center"/>
      </w:pPr>
      <w:r>
        <w:rPr>
          <w:b/>
          <w:sz w:val="20"/>
        </w:rPr>
        <w:t xml:space="preserve"> </w:t>
      </w:r>
    </w:p>
    <w:p w14:paraId="7F7B44E6" w14:textId="77777777" w:rsidR="00C221B7" w:rsidRDefault="006A1F32">
      <w:pPr>
        <w:spacing w:after="45" w:line="259" w:lineRule="auto"/>
        <w:ind w:left="0" w:firstLine="0"/>
      </w:pPr>
      <w:r>
        <w:rPr>
          <w:b/>
          <w:sz w:val="32"/>
        </w:rPr>
        <w:t xml:space="preserve"> </w:t>
      </w:r>
    </w:p>
    <w:p w14:paraId="370F2E9B" w14:textId="77777777" w:rsidR="00C221B7" w:rsidRDefault="006A1F32">
      <w:pPr>
        <w:spacing w:after="0" w:line="259" w:lineRule="auto"/>
        <w:ind w:left="0" w:right="545" w:firstLine="0"/>
        <w:jc w:val="right"/>
      </w:pPr>
      <w:r>
        <w:rPr>
          <w:b/>
          <w:sz w:val="40"/>
        </w:rPr>
        <w:t xml:space="preserve">OKLAHOMA HOUSING FINANCE AGENCY </w:t>
      </w:r>
    </w:p>
    <w:p w14:paraId="5C7BBE4F" w14:textId="77777777" w:rsidR="00C221B7" w:rsidRDefault="006A1F32">
      <w:pPr>
        <w:spacing w:after="0" w:line="259" w:lineRule="auto"/>
        <w:ind w:left="10" w:right="654"/>
        <w:jc w:val="right"/>
      </w:pPr>
      <w:r>
        <w:rPr>
          <w:b/>
          <w:sz w:val="36"/>
        </w:rPr>
        <w:t xml:space="preserve">HOME Investment Partnerships Program (HOME) </w:t>
      </w:r>
    </w:p>
    <w:p w14:paraId="1240B9EA" w14:textId="77777777" w:rsidR="00C221B7" w:rsidRDefault="006A1F32">
      <w:pPr>
        <w:spacing w:after="0" w:line="259" w:lineRule="auto"/>
        <w:ind w:left="0" w:firstLine="0"/>
      </w:pPr>
      <w:r>
        <w:rPr>
          <w:b/>
          <w:sz w:val="36"/>
        </w:rPr>
        <w:t xml:space="preserve"> </w:t>
      </w:r>
    </w:p>
    <w:p w14:paraId="5828F7FC" w14:textId="77777777" w:rsidR="00C221B7" w:rsidRDefault="006A1F32">
      <w:pPr>
        <w:spacing w:after="0" w:line="259" w:lineRule="auto"/>
        <w:ind w:left="10" w:right="654"/>
        <w:jc w:val="right"/>
      </w:pPr>
      <w:r>
        <w:rPr>
          <w:b/>
          <w:sz w:val="36"/>
        </w:rPr>
        <w:t xml:space="preserve">WRITTEN NEW CONSTRUCTION STANDARDS </w:t>
      </w:r>
    </w:p>
    <w:p w14:paraId="36BE5E4E" w14:textId="77777777" w:rsidR="00C221B7" w:rsidRDefault="006A1F32">
      <w:pPr>
        <w:spacing w:after="0" w:line="259" w:lineRule="auto"/>
        <w:ind w:left="0" w:firstLine="0"/>
      </w:pPr>
      <w:r>
        <w:rPr>
          <w:b/>
          <w:sz w:val="36"/>
        </w:rPr>
        <w:t xml:space="preserve"> </w:t>
      </w:r>
    </w:p>
    <w:p w14:paraId="4034B56C" w14:textId="77777777" w:rsidR="00C221B7" w:rsidRDefault="006A1F32">
      <w:pPr>
        <w:spacing w:after="0" w:line="259" w:lineRule="auto"/>
        <w:ind w:left="0" w:firstLine="0"/>
      </w:pPr>
      <w:r>
        <w:rPr>
          <w:b/>
          <w:sz w:val="36"/>
        </w:rPr>
        <w:t xml:space="preserve"> </w:t>
      </w:r>
    </w:p>
    <w:p w14:paraId="4120B6F8" w14:textId="77777777" w:rsidR="00C221B7" w:rsidRDefault="006A1F32">
      <w:pPr>
        <w:spacing w:after="0" w:line="259" w:lineRule="auto"/>
        <w:ind w:left="0" w:firstLine="0"/>
      </w:pPr>
      <w:r>
        <w:rPr>
          <w:b/>
          <w:sz w:val="36"/>
        </w:rPr>
        <w:t xml:space="preserve"> </w:t>
      </w:r>
    </w:p>
    <w:p w14:paraId="1F180D8E" w14:textId="77777777" w:rsidR="00C221B7" w:rsidRDefault="006A1F32">
      <w:pPr>
        <w:spacing w:after="0" w:line="259" w:lineRule="auto"/>
        <w:ind w:left="0" w:firstLine="0"/>
      </w:pPr>
      <w:r>
        <w:rPr>
          <w:b/>
          <w:sz w:val="36"/>
        </w:rPr>
        <w:t xml:space="preserve"> </w:t>
      </w:r>
    </w:p>
    <w:p w14:paraId="78CCC2AB" w14:textId="77777777" w:rsidR="00C221B7" w:rsidRDefault="006A1F32">
      <w:pPr>
        <w:spacing w:after="0" w:line="259" w:lineRule="auto"/>
        <w:ind w:left="0" w:firstLine="0"/>
      </w:pPr>
      <w:r>
        <w:rPr>
          <w:b/>
          <w:sz w:val="36"/>
        </w:rPr>
        <w:t xml:space="preserve"> </w:t>
      </w:r>
    </w:p>
    <w:p w14:paraId="62552244" w14:textId="60C2A453" w:rsidR="00C221B7" w:rsidRDefault="006A1F32">
      <w:pPr>
        <w:spacing w:after="0" w:line="259" w:lineRule="auto"/>
        <w:ind w:left="-5"/>
      </w:pPr>
      <w:r>
        <w:rPr>
          <w:b/>
          <w:sz w:val="36"/>
        </w:rPr>
        <w:t>100 N.W. 63</w:t>
      </w:r>
      <w:r>
        <w:rPr>
          <w:b/>
          <w:sz w:val="36"/>
          <w:vertAlign w:val="superscript"/>
        </w:rPr>
        <w:t>rd</w:t>
      </w:r>
      <w:r>
        <w:rPr>
          <w:b/>
          <w:sz w:val="36"/>
        </w:rPr>
        <w:t xml:space="preserve"> St.</w:t>
      </w:r>
    </w:p>
    <w:p w14:paraId="77106630" w14:textId="77777777" w:rsidR="00C221B7" w:rsidRDefault="006A1F32">
      <w:pPr>
        <w:spacing w:after="0" w:line="259" w:lineRule="auto"/>
        <w:ind w:left="-5"/>
      </w:pPr>
      <w:r>
        <w:rPr>
          <w:b/>
          <w:sz w:val="36"/>
        </w:rPr>
        <w:t xml:space="preserve">P.O. Box 26720 </w:t>
      </w:r>
    </w:p>
    <w:p w14:paraId="4B2D3753" w14:textId="77777777" w:rsidR="00C221B7" w:rsidRDefault="006A1F32">
      <w:pPr>
        <w:spacing w:after="0" w:line="259" w:lineRule="auto"/>
        <w:ind w:left="-5"/>
      </w:pPr>
      <w:r>
        <w:rPr>
          <w:b/>
          <w:sz w:val="36"/>
        </w:rPr>
        <w:t xml:space="preserve">Oklahoma City, OK  73126-0720 </w:t>
      </w:r>
    </w:p>
    <w:p w14:paraId="20B0369B" w14:textId="77777777" w:rsidR="00C221B7" w:rsidRDefault="006A1F32">
      <w:pPr>
        <w:spacing w:after="0" w:line="259" w:lineRule="auto"/>
        <w:ind w:left="0" w:firstLine="0"/>
      </w:pPr>
      <w:r>
        <w:rPr>
          <w:b/>
          <w:sz w:val="36"/>
        </w:rPr>
        <w:t xml:space="preserve"> </w:t>
      </w:r>
      <w:r>
        <w:rPr>
          <w:b/>
          <w:sz w:val="36"/>
        </w:rPr>
        <w:tab/>
        <w:t xml:space="preserve"> </w:t>
      </w:r>
    </w:p>
    <w:p w14:paraId="232BAEC7" w14:textId="77777777" w:rsidR="00C221B7" w:rsidRDefault="006A1F32">
      <w:pPr>
        <w:spacing w:after="0" w:line="259" w:lineRule="auto"/>
        <w:ind w:left="80" w:firstLine="0"/>
        <w:jc w:val="center"/>
      </w:pPr>
      <w:r>
        <w:rPr>
          <w:b/>
          <w:sz w:val="20"/>
        </w:rPr>
        <w:t xml:space="preserve"> </w:t>
      </w:r>
    </w:p>
    <w:p w14:paraId="5DDCD34B" w14:textId="77777777" w:rsidR="00C221B7" w:rsidRDefault="006A1F32">
      <w:pPr>
        <w:spacing w:after="0" w:line="259" w:lineRule="auto"/>
        <w:ind w:left="80" w:firstLine="0"/>
        <w:jc w:val="center"/>
      </w:pPr>
      <w:r>
        <w:rPr>
          <w:b/>
          <w:sz w:val="20"/>
        </w:rPr>
        <w:t xml:space="preserve"> </w:t>
      </w:r>
    </w:p>
    <w:p w14:paraId="7BA2DDA0" w14:textId="77777777" w:rsidR="00C221B7" w:rsidRDefault="006A1F32">
      <w:pPr>
        <w:spacing w:after="0" w:line="259" w:lineRule="auto"/>
        <w:ind w:left="80" w:firstLine="0"/>
        <w:jc w:val="center"/>
      </w:pPr>
      <w:r>
        <w:rPr>
          <w:b/>
          <w:sz w:val="20"/>
        </w:rPr>
        <w:t xml:space="preserve"> </w:t>
      </w:r>
    </w:p>
    <w:p w14:paraId="0580E745" w14:textId="35BF80D5" w:rsidR="00C221B7" w:rsidRDefault="00C221B7" w:rsidP="00E41999">
      <w:pPr>
        <w:spacing w:after="0" w:line="259" w:lineRule="auto"/>
        <w:ind w:left="80" w:firstLine="0"/>
        <w:jc w:val="center"/>
      </w:pPr>
    </w:p>
    <w:p w14:paraId="3D34F0E6" w14:textId="77777777" w:rsidR="00C221B7" w:rsidRDefault="006A1F32">
      <w:pPr>
        <w:spacing w:after="132" w:line="259" w:lineRule="auto"/>
        <w:ind w:left="-5"/>
      </w:pPr>
      <w:r>
        <w:rPr>
          <w:b/>
          <w:sz w:val="36"/>
        </w:rPr>
        <w:t xml:space="preserve">§ 92.251 Property standards. </w:t>
      </w:r>
    </w:p>
    <w:p w14:paraId="330A6F30" w14:textId="77777777" w:rsidR="00C221B7" w:rsidRDefault="006A1F32">
      <w:pPr>
        <w:spacing w:after="255" w:line="259" w:lineRule="auto"/>
        <w:ind w:left="180" w:firstLine="0"/>
      </w:pPr>
      <w:r>
        <w:t xml:space="preserve">(a) </w:t>
      </w:r>
      <w:r>
        <w:rPr>
          <w:b/>
          <w:i/>
        </w:rPr>
        <w:t>New construction projects.</w:t>
      </w:r>
      <w:r>
        <w:t xml:space="preserve">  </w:t>
      </w:r>
    </w:p>
    <w:p w14:paraId="325850CA" w14:textId="3C86A64A" w:rsidR="00C221B7" w:rsidRDefault="006A1F32">
      <w:pPr>
        <w:numPr>
          <w:ilvl w:val="0"/>
          <w:numId w:val="1"/>
        </w:numPr>
      </w:pPr>
      <w:r>
        <w:rPr>
          <w:b/>
          <w:i/>
        </w:rPr>
        <w:t>State and local codes, ordinances, and zoning requirements.</w:t>
      </w:r>
      <w:r>
        <w:t xml:space="preserve"> Housing that is newly constructed with HOME funds must meet all applicable State and local codes, ordinances, and zoning requirements. HOME-assisted new construction projects must meet State or local residential and building codes, as </w:t>
      </w:r>
      <w:proofErr w:type="gramStart"/>
      <w:r>
        <w:t>applicable ,</w:t>
      </w:r>
      <w:proofErr w:type="gramEnd"/>
      <w:r>
        <w:t xml:space="preserve"> </w:t>
      </w:r>
      <w:r w:rsidR="00E41999">
        <w:t>and</w:t>
      </w:r>
      <w:r>
        <w:t xml:space="preserve">, the </w:t>
      </w:r>
      <w:r w:rsidR="00E41999">
        <w:t xml:space="preserve">most recent </w:t>
      </w:r>
      <w:r>
        <w:t xml:space="preserve">International Residential Code or International Building Code (as applicable to the type of housing) of the International Code Council. The housing must meet the applicable requirements upon project completion.  </w:t>
      </w:r>
    </w:p>
    <w:p w14:paraId="05809931" w14:textId="5B4285D9" w:rsidR="00E41999" w:rsidRDefault="00E41999" w:rsidP="00E41999">
      <w:pPr>
        <w:numPr>
          <w:ilvl w:val="0"/>
          <w:numId w:val="1"/>
        </w:numPr>
      </w:pPr>
      <w:r>
        <w:rPr>
          <w:b/>
          <w:i/>
        </w:rPr>
        <w:t>HUD adopted energy standards.</w:t>
      </w:r>
      <w:r>
        <w:t xml:space="preserve"> All new construction projects must also meet the requirements of the 2021 IECC codes for low rise buildings of three stories or less, or the ASHRAE 90.1 2019 codes for buildings with four or more stories. </w:t>
      </w:r>
      <w:r w:rsidR="00EC4418">
        <w:t>Amenities</w:t>
      </w:r>
      <w:r w:rsidR="00E70FE7">
        <w:t xml:space="preserve"> and requirements are based upon the </w:t>
      </w:r>
      <w:r w:rsidR="006611EB">
        <w:t>zone</w:t>
      </w:r>
      <w:r w:rsidR="00E975D7">
        <w:t xml:space="preserve"> in which </w:t>
      </w:r>
      <w:r w:rsidR="006611EB">
        <w:t xml:space="preserve">the development </w:t>
      </w:r>
      <w:r w:rsidR="00E975D7">
        <w:t>is</w:t>
      </w:r>
      <w:r w:rsidR="006611EB">
        <w:t xml:space="preserve"> located. </w:t>
      </w:r>
      <w:r w:rsidR="00EC4418">
        <w:t>Applicants</w:t>
      </w:r>
      <w:r w:rsidR="006611EB">
        <w:t xml:space="preserve"> are encouraged to acquire and review the </w:t>
      </w:r>
      <w:r w:rsidR="00EC4418">
        <w:t xml:space="preserve">International Energy Conservation Code 2021 code book. </w:t>
      </w:r>
      <w:r>
        <w:t>These</w:t>
      </w:r>
      <w:r w:rsidR="00E975D7">
        <w:t xml:space="preserve"> updated energy standards</w:t>
      </w:r>
      <w:r>
        <w:t xml:space="preserve"> include, but are not limited to:</w:t>
      </w:r>
    </w:p>
    <w:p w14:paraId="14023236" w14:textId="77777777" w:rsidR="006A1613" w:rsidRDefault="006A1613" w:rsidP="006A1613">
      <w:pPr>
        <w:pStyle w:val="ListParagraph"/>
        <w:numPr>
          <w:ilvl w:val="0"/>
          <w:numId w:val="9"/>
        </w:numPr>
        <w:spacing w:after="160" w:line="278" w:lineRule="auto"/>
      </w:pPr>
      <w:r>
        <w:t xml:space="preserve">The use of R-3 insulation on exposed pipes, pipes which connect to the hot water tank, and any pipes located within the foundation of the unit. (Insulation in the attic of R-49 or better. </w:t>
      </w:r>
    </w:p>
    <w:p w14:paraId="334CFE9C" w14:textId="77777777" w:rsidR="006A1613" w:rsidRDefault="006A1613" w:rsidP="006A1613">
      <w:pPr>
        <w:pStyle w:val="ListParagraph"/>
        <w:numPr>
          <w:ilvl w:val="0"/>
          <w:numId w:val="9"/>
        </w:numPr>
        <w:spacing w:after="160" w:line="278" w:lineRule="auto"/>
      </w:pPr>
      <w:r>
        <w:t xml:space="preserve"> Wall insulation of R-20 of better. </w:t>
      </w:r>
    </w:p>
    <w:p w14:paraId="2BD07AF8" w14:textId="77777777" w:rsidR="006A1613" w:rsidRDefault="006A1613" w:rsidP="006A1613">
      <w:pPr>
        <w:pStyle w:val="ListParagraph"/>
        <w:numPr>
          <w:ilvl w:val="0"/>
          <w:numId w:val="9"/>
        </w:numPr>
        <w:spacing w:after="160" w:line="278" w:lineRule="auto"/>
      </w:pPr>
      <w:r>
        <w:t xml:space="preserve"> Floor or crawl space insulation of R-19 or better. </w:t>
      </w:r>
    </w:p>
    <w:p w14:paraId="780A3CD4" w14:textId="77777777" w:rsidR="006A1613" w:rsidRDefault="006A1613" w:rsidP="006A1613">
      <w:pPr>
        <w:pStyle w:val="ListParagraph"/>
        <w:numPr>
          <w:ilvl w:val="0"/>
          <w:numId w:val="9"/>
        </w:numPr>
        <w:spacing w:after="160" w:line="278" w:lineRule="auto"/>
      </w:pPr>
      <w:r>
        <w:t xml:space="preserve"> Insulation of R-10 of better installed around the exterior foundation of every building. </w:t>
      </w:r>
    </w:p>
    <w:p w14:paraId="3BCC8ED2" w14:textId="77777777" w:rsidR="006A1613" w:rsidRDefault="006A1613" w:rsidP="006A1613">
      <w:pPr>
        <w:pStyle w:val="ListParagraph"/>
        <w:numPr>
          <w:ilvl w:val="0"/>
          <w:numId w:val="9"/>
        </w:numPr>
        <w:spacing w:after="160" w:line="278" w:lineRule="auto"/>
      </w:pPr>
      <w:r>
        <w:t xml:space="preserve">All air gaps must be filled with a 2021 IECC approved caulking. The caulking should occur at all locations of wood-to-wood contact, along all windows, and at any location where the insulation / drywall has been cut for outlets and power switches. An IECC approved spray foam can be used in place of caulking. </w:t>
      </w:r>
    </w:p>
    <w:p w14:paraId="318FE73B" w14:textId="77777777" w:rsidR="006A1613" w:rsidRDefault="006A1613" w:rsidP="006A1613">
      <w:pPr>
        <w:pStyle w:val="ListParagraph"/>
        <w:numPr>
          <w:ilvl w:val="0"/>
          <w:numId w:val="9"/>
        </w:numPr>
        <w:spacing w:after="160" w:line="278" w:lineRule="auto"/>
      </w:pPr>
      <w:r>
        <w:t xml:space="preserve">The installation of Energy Star Qualified appliances and fixtures including windows, HVAC systems, water heaters, and appliances where applicable. </w:t>
      </w:r>
    </w:p>
    <w:p w14:paraId="012032BF" w14:textId="77777777" w:rsidR="00C221B7" w:rsidRDefault="006A1F32">
      <w:pPr>
        <w:numPr>
          <w:ilvl w:val="0"/>
          <w:numId w:val="1"/>
        </w:numPr>
      </w:pPr>
      <w:r>
        <w:rPr>
          <w:b/>
          <w:i/>
        </w:rPr>
        <w:t>HUD requirements.</w:t>
      </w:r>
      <w:r>
        <w:t xml:space="preserve"> All new construction projects must also meet the requirements described in this paragraph:  </w:t>
      </w:r>
    </w:p>
    <w:p w14:paraId="4B47894D" w14:textId="77777777" w:rsidR="00C221B7" w:rsidRDefault="006A1F32">
      <w:pPr>
        <w:numPr>
          <w:ilvl w:val="0"/>
          <w:numId w:val="2"/>
        </w:numPr>
        <w:ind w:hanging="353"/>
      </w:pPr>
      <w:r>
        <w:rPr>
          <w:b/>
          <w:i/>
        </w:rPr>
        <w:t>Accessibility.</w:t>
      </w:r>
      <w:r>
        <w:t xml:space="preserve"> The housing must meet the accessibility requirements of </w:t>
      </w:r>
      <w:hyperlink r:id="rId8">
        <w:r>
          <w:rPr>
            <w:color w:val="0000FF"/>
            <w:u w:val="single" w:color="0000FF"/>
          </w:rPr>
          <w:t>24 CFR part 8</w:t>
        </w:r>
      </w:hyperlink>
      <w:hyperlink r:id="rId9">
        <w:r>
          <w:t>,</w:t>
        </w:r>
      </w:hyperlink>
      <w:r>
        <w:t xml:space="preserve"> which implements Section 504 of the Rehabilitation Act of 1973 (</w:t>
      </w:r>
      <w:hyperlink r:id="rId10">
        <w:r>
          <w:rPr>
            <w:color w:val="0000FF"/>
            <w:u w:val="single" w:color="0000FF"/>
          </w:rPr>
          <w:t>29 U.S.C. 794</w:t>
        </w:r>
      </w:hyperlink>
      <w:hyperlink r:id="rId11">
        <w:r>
          <w:t>)</w:t>
        </w:r>
      </w:hyperlink>
      <w:r>
        <w:t>, and Titles II and III of the Americans with Disabilities Act (</w:t>
      </w:r>
      <w:hyperlink r:id="rId12">
        <w:r>
          <w:rPr>
            <w:color w:val="0000FF"/>
            <w:u w:val="single" w:color="0000FF"/>
          </w:rPr>
          <w:t>42 U.S.C. 12131-12189</w:t>
        </w:r>
      </w:hyperlink>
      <w:hyperlink r:id="rId13">
        <w:r>
          <w:t>)</w:t>
        </w:r>
      </w:hyperlink>
      <w:r>
        <w:t xml:space="preserve"> implemented at </w:t>
      </w:r>
      <w:hyperlink r:id="rId14">
        <w:r>
          <w:rPr>
            <w:color w:val="0000FF"/>
            <w:u w:val="single" w:color="0000FF"/>
          </w:rPr>
          <w:t>28 CFR parts 35</w:t>
        </w:r>
      </w:hyperlink>
      <w:hyperlink r:id="rId15">
        <w:r>
          <w:t xml:space="preserve"> </w:t>
        </w:r>
      </w:hyperlink>
      <w:r>
        <w:t xml:space="preserve">and </w:t>
      </w:r>
      <w:hyperlink r:id="rId16">
        <w:r>
          <w:rPr>
            <w:color w:val="0000FF"/>
            <w:u w:val="single" w:color="0000FF"/>
          </w:rPr>
          <w:t>36</w:t>
        </w:r>
      </w:hyperlink>
      <w:hyperlink r:id="rId17">
        <w:r>
          <w:t>,</w:t>
        </w:r>
      </w:hyperlink>
      <w:r>
        <w:t xml:space="preserve"> as applicable. Covered multifamily dwellings, as defined at </w:t>
      </w:r>
      <w:hyperlink r:id="rId18">
        <w:r>
          <w:rPr>
            <w:color w:val="0000FF"/>
            <w:u w:val="single" w:color="0000FF"/>
          </w:rPr>
          <w:t>24 CFR 100.201</w:t>
        </w:r>
      </w:hyperlink>
      <w:hyperlink r:id="rId19">
        <w:r>
          <w:t>,</w:t>
        </w:r>
      </w:hyperlink>
      <w:r>
        <w:t xml:space="preserve"> must also meet the design and construction requirements at </w:t>
      </w:r>
      <w:hyperlink r:id="rId20">
        <w:r>
          <w:rPr>
            <w:color w:val="0000FF"/>
            <w:u w:val="single" w:color="0000FF"/>
          </w:rPr>
          <w:t>24</w:t>
        </w:r>
      </w:hyperlink>
      <w:hyperlink r:id="rId21">
        <w:r>
          <w:rPr>
            <w:color w:val="0000FF"/>
          </w:rPr>
          <w:t xml:space="preserve"> </w:t>
        </w:r>
      </w:hyperlink>
      <w:hyperlink r:id="rId22">
        <w:r>
          <w:rPr>
            <w:color w:val="0000FF"/>
            <w:u w:val="single" w:color="0000FF"/>
          </w:rPr>
          <w:t>CFR 100.205</w:t>
        </w:r>
      </w:hyperlink>
      <w:hyperlink r:id="rId23">
        <w:r>
          <w:t>,</w:t>
        </w:r>
      </w:hyperlink>
      <w:r>
        <w:t xml:space="preserve"> which implements the Fair Housing Act (</w:t>
      </w:r>
      <w:hyperlink r:id="rId24">
        <w:r>
          <w:rPr>
            <w:color w:val="0000FF"/>
            <w:u w:val="single" w:color="0000FF"/>
          </w:rPr>
          <w:t>42 U.S.C. 3601-3619</w:t>
        </w:r>
      </w:hyperlink>
      <w:hyperlink r:id="rId25">
        <w:r>
          <w:t>)</w:t>
        </w:r>
      </w:hyperlink>
      <w:r>
        <w:t xml:space="preserve">.  </w:t>
      </w:r>
    </w:p>
    <w:p w14:paraId="33B074B5" w14:textId="77777777" w:rsidR="00C221B7" w:rsidRDefault="006A1F32">
      <w:pPr>
        <w:numPr>
          <w:ilvl w:val="0"/>
          <w:numId w:val="2"/>
        </w:numPr>
        <w:ind w:hanging="353"/>
      </w:pPr>
      <w:r>
        <w:rPr>
          <w:b/>
          <w:i/>
        </w:rPr>
        <w:lastRenderedPageBreak/>
        <w:t>Disaster mitigation.</w:t>
      </w:r>
      <w:r>
        <w:t xml:space="preserve"> Where relevant, the housing must be constructed to mitigate the impact of potential disasters (e.g., earthquakes, hurricanes, flooding, and wildfires), in accordance with State and local codes, ordinances, or other State and local requirements, or such other requirements as HUD may establish.  </w:t>
      </w:r>
    </w:p>
    <w:p w14:paraId="137A21CB" w14:textId="77777777" w:rsidR="00C221B7" w:rsidRDefault="006A1F32">
      <w:pPr>
        <w:numPr>
          <w:ilvl w:val="0"/>
          <w:numId w:val="2"/>
        </w:numPr>
        <w:ind w:hanging="353"/>
      </w:pPr>
      <w:r>
        <w:rPr>
          <w:b/>
          <w:i/>
        </w:rPr>
        <w:t>Written cost estimates, construction contracts and construction documents.</w:t>
      </w:r>
      <w:r>
        <w:t xml:space="preserve"> The participating jurisdiction must ensure the construction contract(s) and construction documents describe the work to be undertaken in adequate detail so that inspections can be conducted. The participating jurisdiction must review and approve written cost estimates for construction and determining that costs are reasonable.  </w:t>
      </w:r>
    </w:p>
    <w:p w14:paraId="4F6F1AA6" w14:textId="77777777" w:rsidR="00C221B7" w:rsidRDefault="006A1F32">
      <w:pPr>
        <w:numPr>
          <w:ilvl w:val="0"/>
          <w:numId w:val="2"/>
        </w:numPr>
        <w:ind w:hanging="353"/>
      </w:pPr>
      <w:r>
        <w:rPr>
          <w:b/>
          <w:i/>
        </w:rPr>
        <w:t>Construction progress inspections.</w:t>
      </w:r>
      <w:r>
        <w:t xml:space="preserve"> The participating jurisdiction must conduct progress and final inspections of construction to ensure that work is done in accordance with the applicable codes, the construction contract, and construction documents.  </w:t>
      </w:r>
    </w:p>
    <w:p w14:paraId="745E2B18" w14:textId="77777777" w:rsidR="00C221B7" w:rsidRDefault="006A1F32">
      <w:pPr>
        <w:numPr>
          <w:ilvl w:val="0"/>
          <w:numId w:val="2"/>
        </w:numPr>
        <w:ind w:hanging="353"/>
      </w:pPr>
      <w:r>
        <w:rPr>
          <w:b/>
          <w:i/>
        </w:rPr>
        <w:t>Broadband infrastructure.</w:t>
      </w:r>
      <w:r>
        <w:t xml:space="preserve"> For new commitments made after January 19, 2017 for a new construction housing project of a building with more than 4 rental units, the construction must include installation of broadband infrastructure, as this term is defined in </w:t>
      </w:r>
      <w:hyperlink r:id="rId26">
        <w:r>
          <w:rPr>
            <w:color w:val="0000FF"/>
            <w:u w:val="single" w:color="0000FF"/>
          </w:rPr>
          <w:t>24 CFR 5.100</w:t>
        </w:r>
      </w:hyperlink>
      <w:hyperlink r:id="rId27">
        <w:r>
          <w:t>,</w:t>
        </w:r>
      </w:hyperlink>
      <w:r>
        <w:t xml:space="preserve"> except where the participating jurisdiction determines and, in accordance with </w:t>
      </w:r>
      <w:hyperlink r:id="rId28" w:anchor="p-92.508(a)(3)(iv)">
        <w:r>
          <w:rPr>
            <w:color w:val="0000FF"/>
            <w:u w:val="single" w:color="0000FF"/>
          </w:rPr>
          <w:t>§ 92.508(a)(3)(iv)</w:t>
        </w:r>
      </w:hyperlink>
      <w:hyperlink r:id="rId29" w:anchor="p-92.508(a)(3)(iv)">
        <w:r>
          <w:t>,</w:t>
        </w:r>
      </w:hyperlink>
      <w:r>
        <w:t xml:space="preserve"> documents the determination that:  </w:t>
      </w:r>
    </w:p>
    <w:p w14:paraId="5BA81AEC" w14:textId="77777777" w:rsidR="00C221B7" w:rsidRDefault="006A1F32">
      <w:pPr>
        <w:numPr>
          <w:ilvl w:val="0"/>
          <w:numId w:val="3"/>
        </w:numPr>
      </w:pPr>
      <w:r>
        <w:t xml:space="preserve">The location of the new construction makes installation of broadband infrastructure infeasible; or  </w:t>
      </w:r>
    </w:p>
    <w:p w14:paraId="5B1DBC74" w14:textId="77777777" w:rsidR="00C221B7" w:rsidRDefault="006A1F32">
      <w:pPr>
        <w:numPr>
          <w:ilvl w:val="0"/>
          <w:numId w:val="3"/>
        </w:numPr>
      </w:pPr>
      <w:r>
        <w:t xml:space="preserve">The cost of installing the infrastructure would result in a fundamental alteration </w:t>
      </w:r>
      <w:proofErr w:type="gramStart"/>
      <w:r>
        <w:t>in the nature of its</w:t>
      </w:r>
      <w:proofErr w:type="gramEnd"/>
      <w:r>
        <w:t xml:space="preserve"> program or activity or in an undue financial burden.  </w:t>
      </w:r>
    </w:p>
    <w:p w14:paraId="1ED39D7D" w14:textId="77777777" w:rsidR="00C221B7" w:rsidRDefault="006A1F32">
      <w:pPr>
        <w:spacing w:after="0" w:line="259" w:lineRule="auto"/>
        <w:ind w:left="0" w:firstLine="0"/>
      </w:pPr>
      <w:r>
        <w:t xml:space="preserve"> </w:t>
      </w:r>
    </w:p>
    <w:p w14:paraId="374D74BD" w14:textId="77777777" w:rsidR="00C221B7" w:rsidRDefault="006A1F32">
      <w:pPr>
        <w:spacing w:after="0" w:line="259" w:lineRule="auto"/>
        <w:ind w:left="0" w:firstLine="0"/>
      </w:pPr>
      <w:r>
        <w:rPr>
          <w:b/>
        </w:rPr>
        <w:t xml:space="preserve"> </w:t>
      </w:r>
    </w:p>
    <w:p w14:paraId="31845692" w14:textId="77777777" w:rsidR="00C221B7" w:rsidRDefault="006A1F32">
      <w:pPr>
        <w:spacing w:after="0" w:line="259" w:lineRule="auto"/>
        <w:ind w:left="0" w:firstLine="0"/>
      </w:pPr>
      <w:r>
        <w:rPr>
          <w:b/>
        </w:rPr>
        <w:t xml:space="preserve"> </w:t>
      </w:r>
    </w:p>
    <w:p w14:paraId="3CF9E5B2" w14:textId="77777777" w:rsidR="00C221B7" w:rsidRDefault="006A1F32">
      <w:pPr>
        <w:spacing w:after="0" w:line="259" w:lineRule="auto"/>
        <w:ind w:left="0" w:firstLine="0"/>
      </w:pPr>
      <w:r>
        <w:rPr>
          <w:b/>
        </w:rPr>
        <w:t xml:space="preserve"> </w:t>
      </w:r>
    </w:p>
    <w:p w14:paraId="59EDC284" w14:textId="77777777" w:rsidR="00C221B7" w:rsidRDefault="006A1F32">
      <w:pPr>
        <w:spacing w:after="0" w:line="259" w:lineRule="auto"/>
        <w:ind w:left="0" w:firstLine="0"/>
      </w:pPr>
      <w:r>
        <w:rPr>
          <w:b/>
        </w:rPr>
        <w:t xml:space="preserve"> </w:t>
      </w:r>
    </w:p>
    <w:p w14:paraId="114C2E87" w14:textId="77777777" w:rsidR="00C221B7" w:rsidRDefault="006A1F32">
      <w:pPr>
        <w:spacing w:after="0" w:line="259" w:lineRule="auto"/>
        <w:ind w:left="0" w:firstLine="0"/>
      </w:pPr>
      <w:r>
        <w:rPr>
          <w:b/>
        </w:rPr>
        <w:t xml:space="preserve"> </w:t>
      </w:r>
    </w:p>
    <w:sectPr w:rsidR="00C221B7">
      <w:footerReference w:type="even" r:id="rId30"/>
      <w:footerReference w:type="default" r:id="rId31"/>
      <w:footerReference w:type="first" r:id="rId32"/>
      <w:pgSz w:w="12240" w:h="15840"/>
      <w:pgMar w:top="1410" w:right="1470" w:bottom="1506" w:left="1440" w:header="72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A6C56" w14:textId="77777777" w:rsidR="00D54A8B" w:rsidRDefault="00D54A8B">
      <w:pPr>
        <w:spacing w:after="0" w:line="240" w:lineRule="auto"/>
      </w:pPr>
      <w:r>
        <w:separator/>
      </w:r>
    </w:p>
  </w:endnote>
  <w:endnote w:type="continuationSeparator" w:id="0">
    <w:p w14:paraId="3900917E" w14:textId="77777777" w:rsidR="00D54A8B" w:rsidRDefault="00D5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F9A6A" w14:textId="77777777" w:rsidR="00C221B7" w:rsidRDefault="006A1F32">
    <w:pPr>
      <w:tabs>
        <w:tab w:val="center" w:pos="4680"/>
        <w:tab w:val="right" w:pos="9330"/>
      </w:tabs>
      <w:spacing w:after="0" w:line="259" w:lineRule="auto"/>
      <w:ind w:left="0" w:right="-30" w:firstLine="0"/>
    </w:pPr>
    <w:r>
      <w:t xml:space="preserve">OHFA Written New Construction Standards </w:t>
    </w:r>
    <w:r>
      <w:tab/>
      <w:t xml:space="preserve"> </w:t>
    </w:r>
    <w:r>
      <w:tab/>
      <w:t xml:space="preserve"> Revised Sept.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BF8E" w14:textId="05DE1B9D" w:rsidR="00C221B7" w:rsidRDefault="006A1F32">
    <w:pPr>
      <w:tabs>
        <w:tab w:val="center" w:pos="4680"/>
        <w:tab w:val="right" w:pos="9330"/>
      </w:tabs>
      <w:spacing w:after="0" w:line="259" w:lineRule="auto"/>
      <w:ind w:left="0" w:right="-30" w:firstLine="0"/>
    </w:pPr>
    <w:r>
      <w:t xml:space="preserve">OHFA Written New Construction Standards </w:t>
    </w:r>
    <w:r>
      <w:tab/>
      <w:t xml:space="preserve"> </w:t>
    </w:r>
    <w:r>
      <w:tab/>
      <w:t xml:space="preserve"> Revised December. 202</w:t>
    </w:r>
    <w:r w:rsidR="002D4122">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0853B" w14:textId="77777777" w:rsidR="00C221B7" w:rsidRDefault="006A1F32">
    <w:pPr>
      <w:tabs>
        <w:tab w:val="center" w:pos="4680"/>
        <w:tab w:val="right" w:pos="9330"/>
      </w:tabs>
      <w:spacing w:after="0" w:line="259" w:lineRule="auto"/>
      <w:ind w:left="0" w:right="-30" w:firstLine="0"/>
    </w:pPr>
    <w:r>
      <w:t xml:space="preserve">OHFA Written New Construction Standards </w:t>
    </w:r>
    <w:r>
      <w:tab/>
      <w:t xml:space="preserve"> </w:t>
    </w:r>
    <w:r>
      <w:tab/>
      <w:t xml:space="preserve"> Revised Sept.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A09C3" w14:textId="77777777" w:rsidR="00D54A8B" w:rsidRDefault="00D54A8B">
      <w:pPr>
        <w:spacing w:after="0" w:line="240" w:lineRule="auto"/>
      </w:pPr>
      <w:r>
        <w:separator/>
      </w:r>
    </w:p>
  </w:footnote>
  <w:footnote w:type="continuationSeparator" w:id="0">
    <w:p w14:paraId="4F4D6B44" w14:textId="77777777" w:rsidR="00D54A8B" w:rsidRDefault="00D54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C02"/>
    <w:multiLevelType w:val="hybridMultilevel"/>
    <w:tmpl w:val="4F58447A"/>
    <w:lvl w:ilvl="0" w:tplc="B2E81258">
      <w:start w:val="1"/>
      <w:numFmt w:val="lowerLetter"/>
      <w:lvlText w:val="%1"/>
      <w:lvlJc w:val="left"/>
      <w:pPr>
        <w:ind w:left="14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 w15:restartNumberingAfterBreak="0">
    <w:nsid w:val="06B929D0"/>
    <w:multiLevelType w:val="hybridMultilevel"/>
    <w:tmpl w:val="A17E08FE"/>
    <w:lvl w:ilvl="0" w:tplc="3F587548">
      <w:start w:val="1"/>
      <w:numFmt w:val="lowerRoman"/>
      <w:lvlText w:val="(%1)"/>
      <w:lvlJc w:val="left"/>
      <w:pPr>
        <w:ind w:left="109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2" w15:restartNumberingAfterBreak="0">
    <w:nsid w:val="49E357EB"/>
    <w:multiLevelType w:val="hybridMultilevel"/>
    <w:tmpl w:val="42A0794E"/>
    <w:lvl w:ilvl="0" w:tplc="25405594">
      <w:start w:val="1"/>
      <w:numFmt w:val="upp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095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493D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24BD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AEB76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008E4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B6923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01B5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1C3A8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AB4986"/>
    <w:multiLevelType w:val="hybridMultilevel"/>
    <w:tmpl w:val="C3B0EA40"/>
    <w:lvl w:ilvl="0" w:tplc="61346890">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E812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0E8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404F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CA06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3281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D6EA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2A4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6BD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8D39B1"/>
    <w:multiLevelType w:val="hybridMultilevel"/>
    <w:tmpl w:val="CFC2FFE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CC3200"/>
    <w:multiLevelType w:val="hybridMultilevel"/>
    <w:tmpl w:val="D72C570A"/>
    <w:lvl w:ilvl="0" w:tplc="3F587548">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06D94"/>
    <w:multiLevelType w:val="hybridMultilevel"/>
    <w:tmpl w:val="363A9DA2"/>
    <w:lvl w:ilvl="0" w:tplc="3F587548">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F59B5"/>
    <w:multiLevelType w:val="hybridMultilevel"/>
    <w:tmpl w:val="A216CC82"/>
    <w:lvl w:ilvl="0" w:tplc="3F587548">
      <w:start w:val="1"/>
      <w:numFmt w:val="lowerRoman"/>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ECCDB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E2EB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422D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2680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264B8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4A79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C337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E202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9F6D8F"/>
    <w:multiLevelType w:val="hybridMultilevel"/>
    <w:tmpl w:val="9F169DBA"/>
    <w:lvl w:ilvl="0" w:tplc="3140E804">
      <w:start w:val="1"/>
      <w:numFmt w:val="lowerRoman"/>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6196683">
    <w:abstractNumId w:val="3"/>
  </w:num>
  <w:num w:numId="2" w16cid:durableId="1286807862">
    <w:abstractNumId w:val="7"/>
  </w:num>
  <w:num w:numId="3" w16cid:durableId="440953046">
    <w:abstractNumId w:val="2"/>
  </w:num>
  <w:num w:numId="4" w16cid:durableId="1588686495">
    <w:abstractNumId w:val="1"/>
  </w:num>
  <w:num w:numId="5" w16cid:durableId="1136215343">
    <w:abstractNumId w:val="6"/>
  </w:num>
  <w:num w:numId="6" w16cid:durableId="620233052">
    <w:abstractNumId w:val="4"/>
  </w:num>
  <w:num w:numId="7" w16cid:durableId="520971437">
    <w:abstractNumId w:val="8"/>
  </w:num>
  <w:num w:numId="8" w16cid:durableId="1982996394">
    <w:abstractNumId w:val="0"/>
  </w:num>
  <w:num w:numId="9" w16cid:durableId="236288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1B7"/>
    <w:rsid w:val="002139E7"/>
    <w:rsid w:val="002D4122"/>
    <w:rsid w:val="00440CDD"/>
    <w:rsid w:val="0050633D"/>
    <w:rsid w:val="00527D10"/>
    <w:rsid w:val="00550CA1"/>
    <w:rsid w:val="00570221"/>
    <w:rsid w:val="006611EB"/>
    <w:rsid w:val="006A1613"/>
    <w:rsid w:val="006A1F32"/>
    <w:rsid w:val="00850B15"/>
    <w:rsid w:val="00917293"/>
    <w:rsid w:val="009557EF"/>
    <w:rsid w:val="009B31CB"/>
    <w:rsid w:val="00A57977"/>
    <w:rsid w:val="00AA1893"/>
    <w:rsid w:val="00B74521"/>
    <w:rsid w:val="00C221B7"/>
    <w:rsid w:val="00CC3206"/>
    <w:rsid w:val="00CD616A"/>
    <w:rsid w:val="00D54A8B"/>
    <w:rsid w:val="00E41999"/>
    <w:rsid w:val="00E70FE7"/>
    <w:rsid w:val="00E975D7"/>
    <w:rsid w:val="00EB6957"/>
    <w:rsid w:val="00EC4418"/>
    <w:rsid w:val="00FD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CA74"/>
  <w15:docId w15:val="{807C365F-CDEC-477A-A515-C9367821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0" w:line="249" w:lineRule="auto"/>
      <w:ind w:left="37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41999"/>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E41999"/>
    <w:pPr>
      <w:ind w:left="720"/>
      <w:contextualSpacing/>
    </w:pPr>
  </w:style>
  <w:style w:type="paragraph" w:styleId="Header">
    <w:name w:val="header"/>
    <w:basedOn w:val="Normal"/>
    <w:link w:val="HeaderChar"/>
    <w:uiPriority w:val="99"/>
    <w:unhideWhenUsed/>
    <w:rsid w:val="002D4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122"/>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govinfo.gov/link/uscode/42/12131" TargetMode="External"/><Relationship Id="rId18" Type="http://schemas.openxmlformats.org/officeDocument/2006/relationships/hyperlink" Target="https://ecfr.federalregister.gov/current/title-24/section-100.201" TargetMode="External"/><Relationship Id="rId26" Type="http://schemas.openxmlformats.org/officeDocument/2006/relationships/hyperlink" Target="https://ecfr.federalregister.gov/current/title-24/section-5.100" TargetMode="External"/><Relationship Id="rId3" Type="http://schemas.openxmlformats.org/officeDocument/2006/relationships/settings" Target="settings.xml"/><Relationship Id="rId21" Type="http://schemas.openxmlformats.org/officeDocument/2006/relationships/hyperlink" Target="https://ecfr.federalregister.gov/current/title-24/section-100.205"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govinfo.gov/link/uscode/42/12131" TargetMode="External"/><Relationship Id="rId17" Type="http://schemas.openxmlformats.org/officeDocument/2006/relationships/hyperlink" Target="https://ecfr.federalregister.gov/current/title-28/part-36" TargetMode="External"/><Relationship Id="rId25" Type="http://schemas.openxmlformats.org/officeDocument/2006/relationships/hyperlink" Target="https://www.govinfo.gov/link/uscode/42/360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cfr.federalregister.gov/current/title-28/part-36" TargetMode="External"/><Relationship Id="rId20" Type="http://schemas.openxmlformats.org/officeDocument/2006/relationships/hyperlink" Target="https://ecfr.federalregister.gov/current/title-24/section-100.205" TargetMode="External"/><Relationship Id="rId29" Type="http://schemas.openxmlformats.org/officeDocument/2006/relationships/hyperlink" Target="https://ecfr.federalregister.gov/current/title-24/section-92.5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nfo.gov/link/uscode/29/794" TargetMode="External"/><Relationship Id="rId24" Type="http://schemas.openxmlformats.org/officeDocument/2006/relationships/hyperlink" Target="https://www.govinfo.gov/link/uscode/42/3601"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cfr.federalregister.gov/current/title-28/part-35" TargetMode="External"/><Relationship Id="rId23" Type="http://schemas.openxmlformats.org/officeDocument/2006/relationships/hyperlink" Target="https://ecfr.federalregister.gov/current/title-24/section-100.205" TargetMode="External"/><Relationship Id="rId28" Type="http://schemas.openxmlformats.org/officeDocument/2006/relationships/hyperlink" Target="https://ecfr.federalregister.gov/current/title-24/section-92.508" TargetMode="External"/><Relationship Id="rId10" Type="http://schemas.openxmlformats.org/officeDocument/2006/relationships/hyperlink" Target="https://www.govinfo.gov/link/uscode/29/794" TargetMode="External"/><Relationship Id="rId19" Type="http://schemas.openxmlformats.org/officeDocument/2006/relationships/hyperlink" Target="https://ecfr.federalregister.gov/current/title-24/section-100.201"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cfr.federalregister.gov/current/title-24/part-8" TargetMode="External"/><Relationship Id="rId14" Type="http://schemas.openxmlformats.org/officeDocument/2006/relationships/hyperlink" Target="https://ecfr.federalregister.gov/current/title-28/part-35" TargetMode="External"/><Relationship Id="rId22" Type="http://schemas.openxmlformats.org/officeDocument/2006/relationships/hyperlink" Target="https://ecfr.federalregister.gov/current/title-24/section-100.205" TargetMode="External"/><Relationship Id="rId27" Type="http://schemas.openxmlformats.org/officeDocument/2006/relationships/hyperlink" Target="https://ecfr.federalregister.gov/current/title-24/section-5.100" TargetMode="External"/><Relationship Id="rId30" Type="http://schemas.openxmlformats.org/officeDocument/2006/relationships/footer" Target="footer1.xml"/><Relationship Id="rId8" Type="http://schemas.openxmlformats.org/officeDocument/2006/relationships/hyperlink" Target="https://ecfr.federalregister.gov/current/title-24/par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Green</dc:creator>
  <cp:keywords/>
  <cp:lastModifiedBy>Emily Myers</cp:lastModifiedBy>
  <cp:revision>22</cp:revision>
  <dcterms:created xsi:type="dcterms:W3CDTF">2024-12-16T03:35:00Z</dcterms:created>
  <dcterms:modified xsi:type="dcterms:W3CDTF">2024-12-19T16:48:00Z</dcterms:modified>
</cp:coreProperties>
</file>